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к проекту закона Новосибирской области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 xml:space="preserve">«О единовременной денежной выплате на обеспечение условий </w:t>
      </w:r>
      <w:r>
        <w:rPr>
          <w:b/>
          <w:bCs/>
          <w:szCs w:val="28"/>
          <w:lang w:eastAsia="en-US"/>
        </w:rPr>
      </w:r>
      <w:r>
        <w:rPr>
          <w:b/>
          <w:bCs/>
          <w:szCs w:val="28"/>
          <w:lang w:eastAsia="en-US"/>
        </w:rPr>
      </w:r>
    </w:p>
    <w:p>
      <w:pPr>
        <w:jc w:val="center"/>
        <w:rPr>
          <w:b/>
          <w:sz w:val="22"/>
          <w:szCs w:val="22"/>
          <w:lang w:eastAsia="en-US"/>
        </w:rPr>
      </w:pPr>
      <w:r>
        <w:rPr>
          <w:b/>
          <w:bCs/>
          <w:szCs w:val="28"/>
          <w:lang w:eastAsia="en-US"/>
        </w:rPr>
        <w:t xml:space="preserve">доступности для инвалида жилого помещения</w:t>
      </w:r>
      <w:r>
        <w:rPr>
          <w:rFonts w:eastAsia="Calibri"/>
          <w:b/>
          <w:bCs/>
          <w:szCs w:val="28"/>
          <w:lang w:eastAsia="en-US"/>
        </w:rPr>
        <w:t xml:space="preserve">»</w:t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p>
      <w:pPr>
        <w:pStyle w:val="702"/>
        <w:jc w:val="left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В целях </w:t>
      </w:r>
      <w:r>
        <w:rPr>
          <w:bCs/>
          <w:szCs w:val="28"/>
        </w:rPr>
        <w:t xml:space="preserve">обеспечения условий доступности жилого помещения для граждан, </w:t>
      </w:r>
      <w:r>
        <w:rPr>
          <w:rFonts w:ascii="Times New Roman" w:hAnsi="Times New Roman"/>
          <w:bCs/>
          <w:sz w:val="28"/>
          <w:szCs w:val="28"/>
        </w:rPr>
        <w:t xml:space="preserve">ставших инвалидами боевых действий в результате</w:t>
      </w:r>
      <w:r>
        <w:rPr>
          <w:rFonts w:ascii="Times New Roman" w:hAnsi="Times New Roman"/>
          <w:bCs/>
          <w:sz w:val="28"/>
          <w:szCs w:val="28"/>
        </w:rPr>
        <w:t xml:space="preserve"> участия в специальной военной операции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/>
          <w:bCs/>
          <w:sz w:val="28"/>
          <w:szCs w:val="28"/>
        </w:rPr>
        <w:t xml:space="preserve">, использующи</w:t>
      </w:r>
      <w:r>
        <w:rPr>
          <w:rFonts w:ascii="Times New Roman" w:hAnsi="Times New Roman"/>
          <w:bCs/>
          <w:sz w:val="28"/>
          <w:szCs w:val="28"/>
        </w:rPr>
        <w:t xml:space="preserve">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качестве средства передвижения кресло-коляску</w:t>
      </w:r>
      <w:r>
        <w:rPr>
          <w:bCs/>
          <w:szCs w:val="28"/>
        </w:rPr>
        <w:t xml:space="preserve">, разработан проект</w:t>
      </w:r>
      <w:r>
        <w:rPr>
          <w:bCs/>
          <w:color w:val="000000"/>
          <w:szCs w:val="28"/>
        </w:rPr>
        <w:t xml:space="preserve"> закона Новосибирской области «</w:t>
      </w:r>
      <w:r>
        <w:rPr>
          <w:bCs/>
          <w:szCs w:val="28"/>
        </w:rPr>
        <w:t xml:space="preserve">О единовременной денежной выплате на обеспечение условий доступности для инвалида жилого помещения</w:t>
      </w:r>
      <w:r>
        <w:rPr>
          <w:bCs/>
          <w:color w:val="000000"/>
          <w:szCs w:val="28"/>
        </w:rPr>
        <w:t xml:space="preserve">» (далее – закон).</w:t>
      </w:r>
      <w:r>
        <w:rPr>
          <w:bCs/>
          <w:color w:val="000000"/>
          <w:szCs w:val="28"/>
        </w:rPr>
      </w:r>
      <w:r>
        <w:rPr>
          <w:bCs/>
          <w:color w:val="000000"/>
          <w:szCs w:val="28"/>
        </w:rPr>
      </w:r>
    </w:p>
    <w:p>
      <w:pPr>
        <w:ind w:firstLine="709"/>
        <w:jc w:val="both"/>
      </w:pPr>
      <w:r>
        <w:rPr>
          <w:bCs/>
          <w:szCs w:val="28"/>
        </w:rPr>
        <w:t xml:space="preserve">Законом устанавливается мера социальной поддержки в виде единовременной денежной выплаты на обеспечение условий доступности жилого помещения в размере: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приспособление (возмеще</w:t>
      </w:r>
      <w:r>
        <w:rPr>
          <w:color w:val="000000"/>
          <w:szCs w:val="28"/>
        </w:rPr>
        <w:t xml:space="preserve">ние расходов, связанных с приспособлением) жилого помещения с учетом потребностей инвалида и обеспечения условий доступности для инвалида, включая оплату расходов, связанных приобретением товаров, работ, услуг и подготовкой проектно-сметной документации - </w:t>
      </w:r>
      <w:r>
        <w:rPr>
          <w:szCs w:val="28"/>
        </w:rPr>
        <w:t xml:space="preserve">не более 500 000,00 руб.</w:t>
      </w:r>
      <w:r>
        <w:rPr>
          <w:color w:val="000000"/>
          <w:szCs w:val="28"/>
        </w:rPr>
        <w:t xml:space="preserve">;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</w:pPr>
      <w:r>
        <w:rPr>
          <w:color w:val="000000"/>
          <w:szCs w:val="28"/>
        </w:rPr>
        <w:t xml:space="preserve">на приобретение жилого помещения (включая оплату услуг по подбору жилого помещения и сопровождению сделки по приобретению жилого помещения) - </w:t>
      </w:r>
      <w:r>
        <w:rPr>
          <w:szCs w:val="28"/>
        </w:rPr>
        <w:t xml:space="preserve">1 000 000,00 руб.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закона потребует введение нового расходного обязательства.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И</w:t>
      </w:r>
      <w:r>
        <w:rPr>
          <w:szCs w:val="28"/>
        </w:rPr>
        <w:t xml:space="preserve">сточник финансирования дополнительных расходов в рамках расходных обязательств министерства труда и социального развития Новосибирской области (далее – министерство) отсутствует. Источник финансирования – средства областного бюджета Новосибирской области.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Учитывая, что в настоящее время по информации органо</w:t>
      </w:r>
      <w:r>
        <w:rPr>
          <w:szCs w:val="28"/>
        </w:rPr>
        <w:t xml:space="preserve">в местного самоуправления муниципальных районов и городских округов, количество граждан указанной категории составляет 19 человек, на реализацию закона потребуется выделение средств из областного бюджета Новосибирской области в размере 57 000 000,00 рублей</w:t>
      </w:r>
      <w:r>
        <w:rPr>
          <w:szCs w:val="28"/>
        </w:rPr>
        <w:t xml:space="preserve">. </w:t>
      </w:r>
      <w:r>
        <w:rPr>
          <w:szCs w:val="28"/>
        </w:rPr>
        <w:t xml:space="preserve">Ввиду отсутствия данных о количестве потенциальных получателей на последующие годы, в расчете потребности средств используется прогнозная численность 2023 года. </w:t>
      </w:r>
      <w:r>
        <w:rPr>
          <w:szCs w:val="28"/>
        </w:rPr>
        <w:t xml:space="preserve">В рамках</w:t>
      </w:r>
      <w:bookmarkStart w:id="0" w:name="_GoBack"/>
      <w:r/>
      <w:bookmarkEnd w:id="0"/>
      <w:r>
        <w:rPr>
          <w:szCs w:val="28"/>
        </w:rPr>
        <w:t xml:space="preserve"> формирования проекта закона Новосибирской области «Об облас</w:t>
      </w:r>
      <w:r>
        <w:rPr>
          <w:szCs w:val="28"/>
        </w:rPr>
        <w:t xml:space="preserve">тном бюджете Новосибирской области на 2024 год и плановый период 2025 и 2026 годов» (ко второму чтению) министерством будет заявлена дополнительная потребность в бюджетных ассигнованиях на 2024 – 2026 годы в сумме 19 000 000,00 рублей ежегодно из расчета: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</w:pPr>
      <w:r>
        <w:rPr>
          <w:szCs w:val="28"/>
        </w:rPr>
        <w:t xml:space="preserve">19 чел. * 1 000 000,00 руб. = 19 000 000,00 рублей, где:</w:t>
      </w:r>
      <w:r/>
    </w:p>
    <w:p>
      <w:pPr>
        <w:ind w:firstLine="709"/>
        <w:jc w:val="both"/>
      </w:pPr>
      <w:r>
        <w:rPr>
          <w:szCs w:val="28"/>
        </w:rPr>
        <w:t xml:space="preserve">19 чел. – количество потенциальных получателей </w:t>
      </w:r>
      <w:r>
        <w:rPr>
          <w:bCs/>
          <w:szCs w:val="28"/>
        </w:rPr>
        <w:t xml:space="preserve">единовременной денежной выплаты</w:t>
      </w:r>
      <w:r>
        <w:rPr>
          <w:szCs w:val="28"/>
        </w:rPr>
        <w:t xml:space="preserve">,</w:t>
      </w:r>
      <w:r/>
    </w:p>
    <w:p>
      <w:pPr>
        <w:ind w:firstLine="709"/>
        <w:jc w:val="both"/>
      </w:pPr>
      <w:r>
        <w:rPr>
          <w:szCs w:val="28"/>
        </w:rPr>
        <w:t xml:space="preserve">1 000 000,00 руб. – максимальный размер </w:t>
      </w:r>
      <w:r>
        <w:rPr>
          <w:bCs/>
          <w:szCs w:val="28"/>
        </w:rPr>
        <w:t xml:space="preserve">единовременной денежной выплаты</w:t>
      </w:r>
      <w:r>
        <w:rPr>
          <w:szCs w:val="28"/>
        </w:rPr>
        <w:t xml:space="preserve">.</w:t>
      </w:r>
      <w:r/>
    </w:p>
    <w:p>
      <w:pPr>
        <w:ind w:firstLine="709"/>
        <w:jc w:val="both"/>
      </w:pPr>
      <w:r>
        <w:t xml:space="preserve">Выпадающие доходы областного бюджета Новосибирской области при реализации проекта за</w:t>
      </w:r>
      <w:r>
        <w:t xml:space="preserve">кона отсутствуют. 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Участниками реализации закона являются министерство и органы местного самоуправления муниципальных образований Новосибирской области.</w:t>
      </w: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5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5" w:hanging="495"/>
        <w:tabs>
          <w:tab w:val="num" w:pos="8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8"/>
    <w:link w:val="680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8"/>
    <w:link w:val="702"/>
    <w:uiPriority w:val="10"/>
    <w:rPr>
      <w:sz w:val="48"/>
      <w:szCs w:val="48"/>
    </w:rPr>
  </w:style>
  <w:style w:type="character" w:styleId="672">
    <w:name w:val="Subtitle Char"/>
    <w:basedOn w:val="688"/>
    <w:link w:val="704"/>
    <w:uiPriority w:val="11"/>
    <w:rPr>
      <w:sz w:val="24"/>
      <w:szCs w:val="24"/>
    </w:rPr>
  </w:style>
  <w:style w:type="character" w:styleId="673">
    <w:name w:val="Quote Char"/>
    <w:link w:val="706"/>
    <w:uiPriority w:val="29"/>
    <w:rPr>
      <w:i/>
    </w:rPr>
  </w:style>
  <w:style w:type="character" w:styleId="674">
    <w:name w:val="Intense Quote Char"/>
    <w:link w:val="708"/>
    <w:uiPriority w:val="30"/>
    <w:rPr>
      <w:i/>
    </w:rPr>
  </w:style>
  <w:style w:type="character" w:styleId="675">
    <w:name w:val="Caption Char"/>
    <w:basedOn w:val="714"/>
    <w:link w:val="712"/>
    <w:uiPriority w:val="99"/>
  </w:style>
  <w:style w:type="character" w:styleId="676">
    <w:name w:val="Footnote Text Char"/>
    <w:link w:val="843"/>
    <w:uiPriority w:val="99"/>
    <w:rPr>
      <w:sz w:val="18"/>
    </w:rPr>
  </w:style>
  <w:style w:type="character" w:styleId="677">
    <w:name w:val="Endnote Text Char"/>
    <w:link w:val="846"/>
    <w:uiPriority w:val="99"/>
    <w:rPr>
      <w:sz w:val="20"/>
    </w:rPr>
  </w:style>
  <w:style w:type="paragraph" w:styleId="678" w:default="1">
    <w:name w:val="Normal"/>
    <w:qFormat/>
    <w:rPr>
      <w:sz w:val="28"/>
    </w:rPr>
  </w:style>
  <w:style w:type="paragraph" w:styleId="679">
    <w:name w:val="Heading 1"/>
    <w:basedOn w:val="678"/>
    <w:next w:val="67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678"/>
    <w:next w:val="678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678"/>
    <w:next w:val="67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678"/>
    <w:next w:val="678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Заголовок 1 Знак"/>
    <w:link w:val="679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Заголовок 2 Знак"/>
    <w:link w:val="680"/>
    <w:uiPriority w:val="9"/>
    <w:rPr>
      <w:rFonts w:ascii="Arial" w:hAnsi="Arial" w:eastAsia="Arial" w:cs="Arial"/>
      <w:sz w:val="34"/>
    </w:rPr>
  </w:style>
  <w:style w:type="character" w:styleId="693" w:customStyle="1">
    <w:name w:val="Заголовок 3 Знак"/>
    <w:link w:val="681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Заголовок 4 Знак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Заголовок 5 Знак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Заголовок 6 Знак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Заголовок 7 Знак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Заголовок 8 Знак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Заголовок 9 Знак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678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rPr>
      <w:lang w:eastAsia="zh-CN"/>
    </w:rPr>
  </w:style>
  <w:style w:type="paragraph" w:styleId="702">
    <w:name w:val="Title"/>
    <w:basedOn w:val="678"/>
    <w:link w:val="703"/>
    <w:qFormat/>
    <w:pPr>
      <w:jc w:val="center"/>
    </w:pPr>
    <w:rPr>
      <w:b/>
    </w:rPr>
  </w:style>
  <w:style w:type="character" w:styleId="703" w:customStyle="1">
    <w:name w:val="Название Знак"/>
    <w:link w:val="702"/>
    <w:uiPriority w:val="10"/>
    <w:rPr>
      <w:sz w:val="48"/>
      <w:szCs w:val="48"/>
    </w:rPr>
  </w:style>
  <w:style w:type="paragraph" w:styleId="704">
    <w:name w:val="Subtitle"/>
    <w:basedOn w:val="678"/>
    <w:next w:val="67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 w:customStyle="1">
    <w:name w:val="Подзаголовок Знак"/>
    <w:link w:val="704"/>
    <w:uiPriority w:val="11"/>
    <w:rPr>
      <w:sz w:val="24"/>
      <w:szCs w:val="24"/>
    </w:rPr>
  </w:style>
  <w:style w:type="paragraph" w:styleId="706">
    <w:name w:val="Quote"/>
    <w:basedOn w:val="678"/>
    <w:next w:val="678"/>
    <w:link w:val="707"/>
    <w:uiPriority w:val="29"/>
    <w:qFormat/>
    <w:pPr>
      <w:ind w:left="720" w:right="720"/>
    </w:pPr>
    <w:rPr>
      <w:i/>
    </w:rPr>
  </w:style>
  <w:style w:type="character" w:styleId="707" w:customStyle="1">
    <w:name w:val="Цитата 2 Знак"/>
    <w:link w:val="706"/>
    <w:uiPriority w:val="29"/>
    <w:rPr>
      <w:i/>
    </w:rPr>
  </w:style>
  <w:style w:type="paragraph" w:styleId="708">
    <w:name w:val="Intense Quote"/>
    <w:basedOn w:val="678"/>
    <w:next w:val="678"/>
    <w:link w:val="7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 w:customStyle="1">
    <w:name w:val="Выделенная цитата Знак"/>
    <w:link w:val="708"/>
    <w:uiPriority w:val="30"/>
    <w:rPr>
      <w:i/>
    </w:rPr>
  </w:style>
  <w:style w:type="paragraph" w:styleId="710">
    <w:name w:val="Header"/>
    <w:basedOn w:val="678"/>
    <w:link w:val="861"/>
    <w:pPr>
      <w:tabs>
        <w:tab w:val="center" w:pos="4153" w:leader="none"/>
        <w:tab w:val="right" w:pos="8306" w:leader="none"/>
      </w:tabs>
    </w:pPr>
  </w:style>
  <w:style w:type="character" w:styleId="711" w:customStyle="1">
    <w:name w:val="Header Char"/>
    <w:uiPriority w:val="99"/>
  </w:style>
  <w:style w:type="paragraph" w:styleId="712">
    <w:name w:val="Footer"/>
    <w:basedOn w:val="678"/>
    <w:link w:val="71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3" w:customStyle="1">
    <w:name w:val="Footer Char"/>
    <w:uiPriority w:val="99"/>
  </w:style>
  <w:style w:type="paragraph" w:styleId="714">
    <w:name w:val="Caption"/>
    <w:basedOn w:val="678"/>
    <w:next w:val="67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15" w:customStyle="1">
    <w:name w:val="Нижний колонтитул Знак"/>
    <w:link w:val="712"/>
    <w:uiPriority w:val="99"/>
  </w:style>
  <w:style w:type="table" w:styleId="71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42">
    <w:name w:val="Hyperlink"/>
    <w:uiPriority w:val="99"/>
    <w:unhideWhenUsed/>
    <w:rPr>
      <w:color w:val="0000ff"/>
      <w:u w:val="single"/>
    </w:rPr>
  </w:style>
  <w:style w:type="paragraph" w:styleId="843">
    <w:name w:val="footnote text"/>
    <w:basedOn w:val="678"/>
    <w:link w:val="844"/>
    <w:uiPriority w:val="99"/>
    <w:semiHidden/>
    <w:unhideWhenUsed/>
    <w:pPr>
      <w:spacing w:after="40"/>
    </w:pPr>
    <w:rPr>
      <w:sz w:val="18"/>
    </w:rPr>
  </w:style>
  <w:style w:type="character" w:styleId="844" w:customStyle="1">
    <w:name w:val="Текст сноски Знак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678"/>
    <w:link w:val="847"/>
    <w:uiPriority w:val="99"/>
    <w:semiHidden/>
    <w:unhideWhenUsed/>
    <w:rPr>
      <w:sz w:val="20"/>
    </w:rPr>
  </w:style>
  <w:style w:type="character" w:styleId="847" w:customStyle="1">
    <w:name w:val="Текст концевой сноски Знак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678"/>
    <w:next w:val="678"/>
    <w:uiPriority w:val="39"/>
    <w:unhideWhenUsed/>
    <w:pPr>
      <w:spacing w:after="57"/>
    </w:pPr>
  </w:style>
  <w:style w:type="paragraph" w:styleId="850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51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52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53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54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55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56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57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58">
    <w:name w:val="TOC Heading"/>
    <w:uiPriority w:val="39"/>
    <w:unhideWhenUsed/>
    <w:rPr>
      <w:lang w:eastAsia="zh-CN"/>
    </w:rPr>
  </w:style>
  <w:style w:type="paragraph" w:styleId="859">
    <w:name w:val="table of figures"/>
    <w:basedOn w:val="678"/>
    <w:next w:val="678"/>
    <w:uiPriority w:val="99"/>
    <w:unhideWhenUsed/>
  </w:style>
  <w:style w:type="paragraph" w:styleId="860">
    <w:name w:val="Body Text"/>
    <w:basedOn w:val="678"/>
    <w:pPr>
      <w:jc w:val="center"/>
    </w:pPr>
  </w:style>
  <w:style w:type="character" w:styleId="861" w:customStyle="1">
    <w:name w:val="Верхний колонтитул Знак"/>
    <w:link w:val="710"/>
    <w:rPr>
      <w:sz w:val="28"/>
    </w:rPr>
  </w:style>
  <w:style w:type="paragraph" w:styleId="862">
    <w:name w:val="Balloon Text"/>
    <w:basedOn w:val="678"/>
    <w:link w:val="863"/>
    <w:uiPriority w:val="99"/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link w:val="862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13</cp:revision>
  <dcterms:created xsi:type="dcterms:W3CDTF">2023-09-21T04:07:00Z</dcterms:created>
  <dcterms:modified xsi:type="dcterms:W3CDTF">2023-10-25T10:02:29Z</dcterms:modified>
  <cp:version>983040</cp:version>
</cp:coreProperties>
</file>